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Bodoni" w:cs="Bodoni" w:eastAsia="Bodoni" w:hAnsi="Bodoni"/>
          <w:b w:val="1"/>
          <w:color w:val="ffffff"/>
          <w:sz w:val="48"/>
          <w:szCs w:val="48"/>
          <w:shd w:fill="ea3232" w:val="clear"/>
        </w:rPr>
      </w:pPr>
      <w:r w:rsidDel="00000000" w:rsidR="00000000" w:rsidRPr="00000000">
        <w:rPr>
          <w:rFonts w:ascii="Bodoni" w:cs="Bodoni" w:eastAsia="Bodoni" w:hAnsi="Bodoni"/>
          <w:b w:val="1"/>
          <w:color w:val="ffffff"/>
          <w:sz w:val="48"/>
          <w:szCs w:val="48"/>
          <w:shd w:fill="ea3232" w:val="clear"/>
          <w:rtl w:val="0"/>
        </w:rPr>
        <w:t xml:space="preserve">Financial and Legal FAQs</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numPr>
          <w:ilvl w:val="0"/>
          <w:numId w:val="1"/>
        </w:numPr>
        <w:spacing w:after="200" w:lineRule="auto"/>
        <w:ind w:left="720" w:hanging="360"/>
        <w:rPr>
          <w:rFonts w:ascii="Lora" w:cs="Lora" w:eastAsia="Lora" w:hAnsi="Lora"/>
          <w:u w:val="none"/>
        </w:rPr>
      </w:pPr>
      <w:r w:rsidDel="00000000" w:rsidR="00000000" w:rsidRPr="00000000">
        <w:rPr>
          <w:rFonts w:ascii="Lora" w:cs="Lora" w:eastAsia="Lora" w:hAnsi="Lora"/>
          <w:b w:val="1"/>
          <w:rtl w:val="0"/>
        </w:rPr>
        <w:t xml:space="preserve">Speaker Security Clearance</w:t>
      </w:r>
      <w:r w:rsidDel="00000000" w:rsidR="00000000" w:rsidRPr="00000000">
        <w:rPr>
          <w:rFonts w:ascii="Lora" w:cs="Lora" w:eastAsia="Lora" w:hAnsi="Lora"/>
          <w:rtl w:val="0"/>
        </w:rPr>
        <w:t xml:space="preserve"> - Speak with the Alchemy Labs Program Manager for recommended speakers who are pre-approved and/or already have clearance for School of Alchemy Spaces and zones.</w:t>
      </w:r>
    </w:p>
    <w:p w:rsidR="00000000" w:rsidDel="00000000" w:rsidP="00000000" w:rsidRDefault="00000000" w:rsidRPr="00000000" w14:paraId="00000004">
      <w:pPr>
        <w:numPr>
          <w:ilvl w:val="0"/>
          <w:numId w:val="1"/>
        </w:numPr>
        <w:spacing w:after="200" w:lineRule="auto"/>
        <w:ind w:left="720" w:hanging="360"/>
        <w:rPr>
          <w:rFonts w:ascii="Lora" w:cs="Lora" w:eastAsia="Lora" w:hAnsi="Lora"/>
          <w:u w:val="none"/>
        </w:rPr>
      </w:pPr>
      <w:r w:rsidDel="00000000" w:rsidR="00000000" w:rsidRPr="00000000">
        <w:rPr>
          <w:rFonts w:ascii="Lora" w:cs="Lora" w:eastAsia="Lora" w:hAnsi="Lora"/>
          <w:b w:val="1"/>
          <w:rtl w:val="0"/>
        </w:rPr>
        <w:t xml:space="preserve">Events for All Genders</w:t>
      </w:r>
      <w:r w:rsidDel="00000000" w:rsidR="00000000" w:rsidRPr="00000000">
        <w:rPr>
          <w:rFonts w:ascii="Lora" w:cs="Lora" w:eastAsia="Lora" w:hAnsi="Lora"/>
          <w:rtl w:val="0"/>
        </w:rPr>
        <w:t xml:space="preserve"> - We recommend using the central School of Alchemy Space space which provides space disclosures to host non-segregated events.</w:t>
      </w:r>
    </w:p>
    <w:p w:rsidR="00000000" w:rsidDel="00000000" w:rsidP="00000000" w:rsidRDefault="00000000" w:rsidRPr="00000000" w14:paraId="00000005">
      <w:pPr>
        <w:numPr>
          <w:ilvl w:val="0"/>
          <w:numId w:val="1"/>
        </w:numPr>
        <w:spacing w:after="200" w:lineRule="auto"/>
        <w:ind w:left="720" w:hanging="360"/>
        <w:rPr>
          <w:rFonts w:ascii="Lora" w:cs="Lora" w:eastAsia="Lora" w:hAnsi="Lora"/>
          <w:u w:val="none"/>
        </w:rPr>
      </w:pPr>
      <w:r w:rsidDel="00000000" w:rsidR="00000000" w:rsidRPr="00000000">
        <w:rPr>
          <w:rFonts w:ascii="Lora" w:cs="Lora" w:eastAsia="Lora" w:hAnsi="Lora"/>
          <w:b w:val="1"/>
          <w:rtl w:val="0"/>
        </w:rPr>
        <w:t xml:space="preserve">Company Set-up for Students</w:t>
      </w:r>
      <w:r w:rsidDel="00000000" w:rsidR="00000000" w:rsidRPr="00000000">
        <w:rPr>
          <w:rFonts w:ascii="Lora" w:cs="Lora" w:eastAsia="Lora" w:hAnsi="Lora"/>
          <w:rtl w:val="0"/>
        </w:rPr>
        <w:t xml:space="preserve"> - Ask your Alchemy Labs Program about student incorporation support. Alchemy Labs will be providing  School of Alchemy programs with a business setup “kit” that includes government and corporate essentials for founding their businesses, such as recommend cap tables. </w:t>
      </w:r>
    </w:p>
    <w:p w:rsidR="00000000" w:rsidDel="00000000" w:rsidP="00000000" w:rsidRDefault="00000000" w:rsidRPr="00000000" w14:paraId="00000006">
      <w:pPr>
        <w:numPr>
          <w:ilvl w:val="0"/>
          <w:numId w:val="1"/>
        </w:numPr>
        <w:spacing w:after="200" w:lineRule="auto"/>
        <w:ind w:left="720" w:hanging="360"/>
        <w:rPr>
          <w:rFonts w:ascii="Lora" w:cs="Lora" w:eastAsia="Lora" w:hAnsi="Lora"/>
          <w:u w:val="none"/>
        </w:rPr>
      </w:pPr>
      <w:r w:rsidDel="00000000" w:rsidR="00000000" w:rsidRPr="00000000">
        <w:rPr>
          <w:rFonts w:ascii="Lora" w:cs="Lora" w:eastAsia="Lora" w:hAnsi="Lora"/>
          <w:b w:val="1"/>
          <w:rtl w:val="0"/>
        </w:rPr>
        <w:t xml:space="preserve">Space Use Restrictions for Businesses </w:t>
      </w:r>
      <w:r w:rsidDel="00000000" w:rsidR="00000000" w:rsidRPr="00000000">
        <w:rPr>
          <w:rFonts w:ascii="Lora" w:cs="Lora" w:eastAsia="Lora" w:hAnsi="Lora"/>
          <w:rtl w:val="0"/>
        </w:rPr>
        <w:t xml:space="preserve">- The School of Alchemy Space will function as a virtual “P.O. Box” or address for student-created businesses as part of their student &amp; university license.</w:t>
      </w:r>
    </w:p>
    <w:p w:rsidR="00000000" w:rsidDel="00000000" w:rsidP="00000000" w:rsidRDefault="00000000" w:rsidRPr="00000000" w14:paraId="00000007">
      <w:pPr>
        <w:numPr>
          <w:ilvl w:val="0"/>
          <w:numId w:val="1"/>
        </w:numPr>
        <w:spacing w:after="200" w:lineRule="auto"/>
        <w:ind w:left="720" w:hanging="360"/>
        <w:rPr>
          <w:rFonts w:ascii="Lora" w:cs="Lora" w:eastAsia="Lora" w:hAnsi="Lora"/>
          <w:u w:val="none"/>
        </w:rPr>
      </w:pPr>
      <w:r w:rsidDel="00000000" w:rsidR="00000000" w:rsidRPr="00000000">
        <w:rPr>
          <w:rFonts w:ascii="Lora" w:cs="Lora" w:eastAsia="Lora" w:hAnsi="Lora"/>
          <w:b w:val="1"/>
          <w:rtl w:val="0"/>
        </w:rPr>
        <w:t xml:space="preserve">Bankruptcy Concerns </w:t>
      </w:r>
      <w:r w:rsidDel="00000000" w:rsidR="00000000" w:rsidRPr="00000000">
        <w:rPr>
          <w:rFonts w:ascii="Lora" w:cs="Lora" w:eastAsia="Lora" w:hAnsi="Lora"/>
          <w:rtl w:val="0"/>
        </w:rPr>
        <w:t xml:space="preserve">- Find partners to coach students through appropriate budget management. Use mentors and advisory boards as a “CEO-as-a-service” to help mentor students with the most immediate need.</w:t>
      </w:r>
    </w:p>
    <w:p w:rsidR="00000000" w:rsidDel="00000000" w:rsidP="00000000" w:rsidRDefault="00000000" w:rsidRPr="00000000" w14:paraId="00000008">
      <w:pPr>
        <w:numPr>
          <w:ilvl w:val="0"/>
          <w:numId w:val="1"/>
        </w:numPr>
        <w:spacing w:after="200" w:lineRule="auto"/>
        <w:ind w:left="720" w:hanging="360"/>
        <w:rPr>
          <w:rFonts w:ascii="Lora" w:cs="Lora" w:eastAsia="Lora" w:hAnsi="Lora"/>
          <w:u w:val="none"/>
        </w:rPr>
      </w:pPr>
      <w:r w:rsidDel="00000000" w:rsidR="00000000" w:rsidRPr="00000000">
        <w:rPr>
          <w:rFonts w:ascii="Lora" w:cs="Lora" w:eastAsia="Lora" w:hAnsi="Lora"/>
          <w:b w:val="1"/>
          <w:rtl w:val="0"/>
        </w:rPr>
        <w:t xml:space="preserve">Incentives for involved University Champions </w:t>
      </w:r>
      <w:r w:rsidDel="00000000" w:rsidR="00000000" w:rsidRPr="00000000">
        <w:rPr>
          <w:rFonts w:ascii="Lora" w:cs="Lora" w:eastAsia="Lora" w:hAnsi="Lora"/>
          <w:rtl w:val="0"/>
        </w:rPr>
        <w:t xml:space="preserve">- Leverage existing champions and Professors of Practice to excite others. Define clear roles on how university members can choose to engage. Draft performance incentives around supporting new programs and influencing student “mindsets.” </w:t>
      </w:r>
    </w:p>
    <w:p w:rsidR="00000000" w:rsidDel="00000000" w:rsidP="00000000" w:rsidRDefault="00000000" w:rsidRPr="00000000" w14:paraId="00000009">
      <w:pPr>
        <w:numPr>
          <w:ilvl w:val="0"/>
          <w:numId w:val="1"/>
        </w:numPr>
        <w:spacing w:after="200" w:lineRule="auto"/>
        <w:ind w:left="720" w:hanging="360"/>
        <w:rPr>
          <w:rFonts w:ascii="Lora" w:cs="Lora" w:eastAsia="Lora" w:hAnsi="Lora"/>
          <w:b w:val="1"/>
        </w:rPr>
      </w:pPr>
      <w:r w:rsidDel="00000000" w:rsidR="00000000" w:rsidRPr="00000000">
        <w:rPr>
          <w:rFonts w:ascii="Lora" w:cs="Lora" w:eastAsia="Lora" w:hAnsi="Lora"/>
          <w:b w:val="1"/>
          <w:rtl w:val="0"/>
        </w:rPr>
        <w:t xml:space="preserve">Funding Sources - </w:t>
      </w:r>
      <w:r w:rsidDel="00000000" w:rsidR="00000000" w:rsidRPr="00000000">
        <w:rPr>
          <w:rFonts w:ascii="Lora" w:cs="Lora" w:eastAsia="Lora" w:hAnsi="Lora"/>
          <w:rtl w:val="0"/>
        </w:rPr>
        <w:t xml:space="preserve">Begin conversations with alumni and corporate partners to learn more about your program for future fundraising. Work with your Alchemy Labs Program Manager for recommendations on how to support and scale your program.</w:t>
      </w:r>
      <w:r w:rsidDel="00000000" w:rsidR="00000000" w:rsidRPr="00000000">
        <w:rPr>
          <w:rtl w:val="0"/>
        </w:rPr>
      </w:r>
    </w:p>
    <w:p w:rsidR="00000000" w:rsidDel="00000000" w:rsidP="00000000" w:rsidRDefault="00000000" w:rsidRPr="00000000" w14:paraId="0000000A">
      <w:pPr>
        <w:numPr>
          <w:ilvl w:val="0"/>
          <w:numId w:val="1"/>
        </w:numPr>
        <w:spacing w:after="200" w:lineRule="auto"/>
        <w:ind w:left="720" w:hanging="360"/>
        <w:rPr>
          <w:rFonts w:ascii="Lora" w:cs="Lora" w:eastAsia="Lora" w:hAnsi="Lora"/>
          <w:u w:val="none"/>
        </w:rPr>
      </w:pPr>
      <w:r w:rsidDel="00000000" w:rsidR="00000000" w:rsidRPr="00000000">
        <w:rPr>
          <w:rFonts w:ascii="Lora" w:cs="Lora" w:eastAsia="Lora" w:hAnsi="Lora"/>
          <w:b w:val="1"/>
          <w:rtl w:val="0"/>
        </w:rPr>
        <w:t xml:space="preserve">Accreditation</w:t>
      </w:r>
      <w:r w:rsidDel="00000000" w:rsidR="00000000" w:rsidRPr="00000000">
        <w:rPr>
          <w:rFonts w:ascii="Lora" w:cs="Lora" w:eastAsia="Lora" w:hAnsi="Lora"/>
          <w:rtl w:val="0"/>
        </w:rPr>
        <w:t xml:space="preserve"> - Alchemy Labs will be pursuing accreditation of the overall curriculum for School of Alchemy’s experiential course. For new programming, tag on as much as possible to existing approved content and events. Ask your program managers if you have further questions or concerns.</w:t>
      </w:r>
    </w:p>
    <w:p w:rsidR="00000000" w:rsidDel="00000000" w:rsidP="00000000" w:rsidRDefault="00000000" w:rsidRPr="00000000" w14:paraId="0000000B">
      <w:pPr>
        <w:spacing w:after="200" w:lineRule="auto"/>
        <w:rPr/>
      </w:pPr>
      <w:r w:rsidDel="00000000" w:rsidR="00000000" w:rsidRPr="00000000">
        <w:rPr>
          <w:rtl w:val="0"/>
        </w:rPr>
        <w:t xml:space="preserve"> </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doni">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widowControl w:val="0"/>
      <w:spacing w:line="240" w:lineRule="auto"/>
      <w:jc w:val="right"/>
      <w:rPr>
        <w:b w:val="1"/>
      </w:rPr>
    </w:pPr>
    <w:r w:rsidDel="00000000" w:rsidR="00000000" w:rsidRPr="00000000">
      <w:rPr>
        <w:rFonts w:ascii="Bodoni" w:cs="Bodoni" w:eastAsia="Bodoni" w:hAnsi="Bodoni"/>
        <w:b w:val="1"/>
      </w:rPr>
      <w:drawing>
        <wp:inline distB="19050" distT="19050" distL="19050" distR="19050">
          <wp:extent cx="1226998" cy="1834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6998" cy="183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 Id="rId5" Type="http://schemas.openxmlformats.org/officeDocument/2006/relationships/font" Target="fonts/Bodoni-regular.ttf"/><Relationship Id="rId6" Type="http://schemas.openxmlformats.org/officeDocument/2006/relationships/font" Target="fonts/Bodoni-bold.ttf"/><Relationship Id="rId7" Type="http://schemas.openxmlformats.org/officeDocument/2006/relationships/font" Target="fonts/Bodoni-italic.ttf"/><Relationship Id="rId8" Type="http://schemas.openxmlformats.org/officeDocument/2006/relationships/font" Target="fonts/Bodoni-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